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  <w:jc w:val="center"/>
      </w:pPr>
      <w:r>
        <w:drawing>
          <wp:inline xmlns:a="http://schemas.openxmlformats.org/drawingml/2006/main" xmlns:pic="http://schemas.openxmlformats.org/drawingml/2006/picture">
            <wp:extent cx="2057400" cy="521804"/>
            <wp:docPr id="1" name="Picture 1" descr="Logotipo del Proyecto MYPES Digitales" title="Logotipo del Proyecto MYPES Digital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pes-digital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2180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2834640" cy="886644"/>
            <wp:docPr id="2" name="Picture 2" descr="Logotipo de la Gerencia Regional de Producción del Gobierno Regional Cusco" title="Logotipo de la Gerencia Regional de Producción del Gobierno Regional Cusc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repro-cusc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8866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0"/>
      </w:pPr>
    </w:p>
    <w:p>
      <w:pPr>
        <w:pStyle w:val="Title"/>
        <w:spacing w:after="280"/>
        <w:jc w:val="left"/>
      </w:pPr>
      <w:r>
        <w:rPr>
          <w:rFonts w:ascii="Aptos Display" w:hAnsi="Aptos Display"/>
          <w:b/>
          <w:color w:val="000000"/>
          <w:sz w:val="64"/>
        </w:rPr>
        <w:t>Manual institucional y de uso de NexoCaja</w:t>
      </w:r>
    </w:p>
    <w:p>
      <w:pPr>
        <w:spacing w:after="480"/>
      </w:pPr>
      <w:r>
        <w:rPr>
          <w:rFonts w:ascii="Aptos" w:hAnsi="Aptos"/>
          <w:color w:val="6C6265"/>
          <w:sz w:val="30"/>
        </w:rPr>
        <w:t>Piloto local para planificación financiera y evaluación de créditos de micro y pequeñas empresas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744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Documento</w:t>
            </w:r>
          </w:p>
        </w:tc>
        <w:tc>
          <w:tcPr>
            <w:tcW w:type="dxa" w:w="3024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Ámbito</w:t>
            </w:r>
          </w:p>
        </w:tc>
        <w:tc>
          <w:tcPr>
            <w:tcW w:type="dxa" w:w="2304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Versión</w:t>
            </w:r>
          </w:p>
        </w:tc>
      </w:tr>
      <w:tr>
        <w:tc>
          <w:tcPr>
            <w:tcW w:type="dxa" w:w="37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20"/>
              </w:rPr>
              <w:t>Presentación y manual de uso</w:t>
            </w:r>
          </w:p>
        </w:tc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20"/>
              </w:rPr>
              <w:t>Cusco, Perú</w:t>
            </w:r>
          </w:p>
        </w:tc>
        <w:tc>
          <w:tcPr>
            <w:tcW w:type="dxa" w:w="230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20"/>
              </w:rPr>
              <w:t>Piloto 0.3</w:t>
            </w:r>
          </w:p>
        </w:tc>
      </w:tr>
    </w:tbl>
    <w:p>
      <w:pPr>
        <w:spacing w:after="40"/>
      </w:pPr>
    </w:p>
    <w:p>
      <w:pPr>
        <w:spacing w:before="240" w:after="0"/>
      </w:pPr>
      <w:r>
        <w:rPr>
          <w:rFonts w:ascii="Aptos" w:hAnsi="Aptos"/>
          <w:b/>
          <w:color w:val="AD0F2F"/>
          <w:sz w:val="22"/>
        </w:rPr>
        <w:t>Setiembre de 2026</w:t>
      </w:r>
    </w:p>
    <w:p>
      <w:pPr>
        <w:spacing w:after="0"/>
      </w:pPr>
      <w:r>
        <w:rPr>
          <w:rFonts w:ascii="Aptos" w:hAnsi="Aptos"/>
          <w:color w:val="6C6265"/>
          <w:sz w:val="20"/>
        </w:rPr>
        <w:t>Documento para presentación, demostración y capacitación del piloto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PRESENTACIÓN INSTITUCIONAL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Propósito del proyecto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Una lectura ejecutiva antes de utilizar la herramienta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NexoCaja reúne el registro diario, la proyección de caja y la evaluación de créditos en una aplicación local. Su objetivo es ayudar a una persona emprendedora o una MYPE a ordenar información básica y anticipar decisiones de liquidez con una interfaz visual y breve.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El piloto utiliza la identidad del Proyecto MYPES Digitales y de la Gerencia Regional de Producción del Gobierno Regional Cusco. La solución está preparada para demostración y validación local. Antes de un despliegue institucional con información real se requiere revisión contable, evaluación de seguridad y pruebas con usuarios.</w:t>
      </w: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Registrar ingresos, egresos y categorías del negocio.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Proyectar doce meses de caja con políticas de cobro y pago.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Estimar IGV, aportes, renta y compromisos pendientes con tasas configurables.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Simular créditos y generar un cronograma de cuota, interés y amortización.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Importar y exportar movimientos y cuentas mediante hojas de cálculo.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Presentar resultados con indicadores, alertas, tablas y gráficos.</w:t>
      </w:r>
    </w:p>
    <w:p>
      <w:pPr>
        <w:pStyle w:val="Heading2"/>
        <w:keepNext/>
        <w:spacing w:before="160"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088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4320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Finalidad</w:t>
            </w:r>
          </w:p>
        </w:tc>
        <w:tc>
          <w:tcPr>
            <w:tcW w:type="dxa" w:w="2664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Límite principal</w:t>
            </w:r>
          </w:p>
        </w:tc>
      </w:tr>
      <w:tr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Usuario MYPE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Gestiona el plan financiero de su negocio</w:t>
            </w:r>
          </w:p>
        </w:tc>
        <w:tc>
          <w:tcPr>
            <w:tcW w:type="dxa" w:w="26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Solo ve información propia</w:t>
            </w:r>
          </w:p>
        </w:tc>
      </w:tr>
      <w:tr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Gestor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Brinda soporte y administra cuentas normales</w:t>
            </w:r>
          </w:p>
        </w:tc>
        <w:tc>
          <w:tcPr>
            <w:tcW w:type="dxa" w:w="26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 accede a información financiera</w:t>
            </w:r>
          </w:p>
        </w:tc>
      </w:tr>
      <w:tr>
        <w:tc>
          <w:tcPr>
            <w:tcW w:type="dxa" w:w="208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Cuenta maestra</w:t>
            </w:r>
          </w:p>
        </w:tc>
        <w:tc>
          <w:tcPr>
            <w:tcW w:type="dxa" w:w="43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Administra gestores y usuarios</w:t>
            </w:r>
          </w:p>
        </w:tc>
        <w:tc>
          <w:tcPr>
            <w:tcW w:type="dxa" w:w="26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 sustituye el perfil financiero</w:t>
            </w:r>
          </w:p>
        </w:tc>
      </w:tr>
    </w:tbl>
    <w:p>
      <w:pPr>
        <w:spacing w:after="40"/>
      </w:pPr>
    </w:p>
    <w:p>
      <w:pPr>
        <w:widowControl/>
        <w:spacing w:after="0" w:line="259" w:lineRule="auto"/>
      </w:pPr>
      <w:r>
        <w:rPr>
          <w:rFonts w:ascii="Aptos" w:hAnsi="Aptos"/>
          <w:b/>
          <w:color w:val="2A1B1F"/>
          <w:sz w:val="21"/>
        </w:rPr>
        <w:t xml:space="preserve">Alcance del documento. </w:t>
      </w:r>
      <w:r>
        <w:rPr>
          <w:rFonts w:ascii="Aptos" w:hAnsi="Aptos"/>
          <w:color w:val="2A1B1F"/>
          <w:sz w:val="21"/>
        </w:rPr>
        <w:t>Las páginas siguientes explican cómo iniciar el piloto, recorrer cada módulo y presentar su valor sin atribuirle funciones que todavía no forman parte del alcance.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INICIO RÁPIDO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Preparación de la demostración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Iniciadores, accesos y condiciones de uso</w:t>
      </w:r>
    </w:p>
    <w:p>
      <w:pPr>
        <w:pStyle w:val="Heading2"/>
        <w:keepNext/>
        <w:spacing w:before="160"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232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Equipo</w:t>
            </w:r>
          </w:p>
        </w:tc>
        <w:tc>
          <w:tcPr>
            <w:tcW w:type="dxa" w:w="4248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Archivo</w:t>
            </w:r>
          </w:p>
        </w:tc>
        <w:tc>
          <w:tcPr>
            <w:tcW w:type="dxa" w:w="2592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Uso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Windows</w:t>
            </w:r>
          </w:p>
        </w:tc>
        <w:tc>
          <w:tcPr>
            <w:tcW w:type="dxa" w:w="42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INICIAR_NEXOCAJA.bat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Abre el piloto en este equipo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Mac</w:t>
            </w:r>
          </w:p>
        </w:tc>
        <w:tc>
          <w:tcPr>
            <w:tcW w:type="dxa" w:w="42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INICIAR_NEXOCAJA_MAC.command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Abre el piloto en este equipo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iPhone o iPad desde Windows</w:t>
            </w:r>
          </w:p>
        </w:tc>
        <w:tc>
          <w:tcPr>
            <w:tcW w:type="dxa" w:w="42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INICIAR_NEXOCAJA_IPHONE_IPAD.bat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Muestra una dirección para Safari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iPhone o iPad desde Mac</w:t>
            </w:r>
          </w:p>
        </w:tc>
        <w:tc>
          <w:tcPr>
            <w:tcW w:type="dxa" w:w="42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COMPARTIR_NEXOCAJA_IPHONE_IPAD.command</w:t>
            </w:r>
          </w:p>
        </w:tc>
        <w:tc>
          <w:tcPr>
            <w:tcW w:type="dxa" w:w="259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Muestra una dirección para Safari</w:t>
            </w:r>
          </w:p>
        </w:tc>
      </w:tr>
    </w:tbl>
    <w:p>
      <w:pPr>
        <w:spacing w:after="40"/>
      </w:pP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En iPhone y iPad la aplicación se ejecuta en la PC o Mac anfitriona. Ambos equipos deben estar conectados a la misma red Wi-Fi. En Safari puede utilizarse Compartir y Agregar a inicio para dejar un acceso similar al de una aplicación.</w:t>
      </w:r>
    </w:p>
    <w:p>
      <w:pPr>
        <w:pStyle w:val="Heading2"/>
        <w:keepNext/>
        <w:spacing w:before="160"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600"/>
            <w:shd w:fill="AD0F2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2736"/>
            <w:shd w:fill="AD0F2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Usuario</w:t>
            </w:r>
          </w:p>
        </w:tc>
        <w:tc>
          <w:tcPr>
            <w:tcW w:type="dxa" w:w="2736"/>
            <w:shd w:fill="AD0F2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Contraseña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Cuenta maestra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master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demo1234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Gestor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gestor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demo1234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Usuario financiero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usuario</w:t>
            </w:r>
          </w:p>
        </w:tc>
        <w:tc>
          <w:tcPr>
            <w:tcW w:type="dxa" w:w="27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demo1234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Confirmar que Node.js 22.5 o superior está instalado.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Abrir el iniciador y mantener su ventana activa durante la demostración.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Comprobar los tres accesos y revisar que la base demo contiene información de ejemplo.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Usar una red de confianza si la demostración incluye iPhone o iPad.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No introducir datos financieros reales en una sesión pública de demostración.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ACCESO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Inicio de sesión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Una entrada simple para cada perfil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97880" cy="5396560"/>
            <wp:docPr id="3" name="Picture 3" descr="Pantalla de inicio de sesión de NexoCaja" title="Pantalla de inicio de sesión de NexoCaj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inicio_ses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5396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ptos" w:hAnsi="Aptos"/>
          <w:i/>
          <w:color w:val="6C6265"/>
          <w:sz w:val="17"/>
        </w:rPr>
        <w:t>Pantalla inicial con accesos de demostración y presencia institucional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1. Seleccionar Iniciar sesión.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2. Escribir el usuario corto o el correo de la cuenta.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3. Introducir la contraseña y pulsar Ingresar.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4. Si la contraseña es temporal, crear una nueva antes de continuar.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La opción Crear cuenta está disponible en el modo de prueba para registrar un usuario financiero. En un uso controlado, las altas deben seguir el procedimiento definido por el equipo responsable.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USUARIO MYPE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Panel financiero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Indicadores para explicar la situación proyectada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72000" cy="4181778"/>
            <wp:docPr id="4" name="Picture 4" descr="Panel financiero con indicadores y gráfico de evolución de caja" title="Panel financiero con indicadores y gráfico de evolución de caj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panel_financier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181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ptos" w:hAnsi="Aptos"/>
          <w:i/>
          <w:color w:val="6C6265"/>
          <w:sz w:val="17"/>
        </w:rPr>
        <w:t>El panel resume caja, ventas, utilidad y meses en riesgo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448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6623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Lectura sugerida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Saldo final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Caja estimada al cierre del periodo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Ventas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Ventas anuales sin IGV utilizadas por la proyección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Utilidad neta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Resultado estimado después de costos, gastos e impuesto anual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Meses en riesgo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Cantidad de meses cuyo saldo final es negativo</w:t>
            </w:r>
          </w:p>
        </w:tc>
      </w:tr>
    </w:tbl>
    <w:p>
      <w:pPr>
        <w:spacing w:after="40"/>
      </w:pP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Los botones Caja, Flujo y Categorías cambian la visualización sin modificar los datos. Las señales del plan resaltan compromisos pendientes o condiciones de liquidez que conviene revisar.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USUARIO MYPE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Movimientos y categorías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Registro diario e intercambio con hojas de cálculo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389120" cy="4014507"/>
            <wp:docPr id="5" name="Picture 5" descr="Módulo de movimientos con ingresos egresos y opciones de Excel" title="Módulo de movimientos con ingresos egresos y opciones de Exce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movimiento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014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ptos" w:hAnsi="Aptos"/>
          <w:i/>
          <w:color w:val="6C6265"/>
          <w:sz w:val="17"/>
        </w:rPr>
        <w:t>Los movimientos se distinguen por tipo, categoría, importe y fecha</w:t>
      </w:r>
    </w:p>
    <w:p>
      <w:pPr>
        <w:pStyle w:val="Heading2"/>
        <w:keepNext/>
        <w:spacing w:before="160" w:after="100"/>
      </w:pP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1. Pulsar Ingreso o Egreso.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2. Seleccionar la categoría y completar importe, fecha y detalle.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3. Guardar y verificar el nuevo saldo en el resumen del módulo.</w:t>
      </w: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Plantilla descarga un archivo con los encabezados esperados.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Importar acepta XLSX o CSV y muestra una vista previa antes de guardar.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Exportar genera un XLSX con los movimientos del usuario.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Para evitar errores, conviene descargar la plantilla actual antes de preparar una carga masiva. La API vuelve a validar tipos, importes, fechas y propiedad de los datos.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USUARIO MYPE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Plan de caja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Datos mensuales y reglas de proyección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El Plan de caja convierte las entradas mensuales en una proyección de doce meses. El usuario configura el saldo inicial, las tasas y las políticas de cobranza y pago; después completa ventas, compras, planilla, servicios y otros conceptos.</w:t>
      </w:r>
    </w:p>
    <w:p>
      <w:pPr>
        <w:pStyle w:val="Heading2"/>
        <w:keepNext/>
        <w:spacing w:before="160" w:after="100"/>
      </w:pP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1. Definir el nombre del negocio, el año y el saldo inicial.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2. Revisar las tasas configurables antes de ingresar cifras.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3. Confirmar la política de cobro y pago para contado, 30, 60 y 90 días.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4. Completar las cifras mensuales. Las compras pueden calcularse desde el costo de ventas si se dejan automáticas.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5. Guardar y revisar el Resumen y los Reportes.</w:t>
      </w:r>
    </w:p>
    <w:p>
      <w:pPr>
        <w:pStyle w:val="Heading2"/>
        <w:keepNext/>
        <w:spacing w:before="160"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448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6623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Tratamiento en el piloto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Cobranzas y proveedores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Se distribuyen según las políticas de cuatro plazos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IGV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Compensa débito y crédito y arrastra crédito fiscal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IGV Justo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Desplaza el pago estimado tres meses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Planilla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Calcula descuento previsional, neto y EsSalud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Renta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Estima adelantos mensuales y regularización anual</w:t>
            </w:r>
          </w:p>
        </w:tc>
      </w:tr>
      <w:tr>
        <w:tc>
          <w:tcPr>
            <w:tcW w:type="dxa" w:w="24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Créditos</w:t>
            </w:r>
          </w:p>
        </w:tc>
        <w:tc>
          <w:tcPr>
            <w:tcW w:type="dxa" w:w="662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Integra desembolso y cuotas al flujo mensual</w:t>
            </w:r>
          </w:p>
        </w:tc>
      </w:tr>
    </w:tbl>
    <w:p>
      <w:pPr>
        <w:spacing w:after="40"/>
      </w:pP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Las tasas son parámetros de planificación. Antes de utilizar resultados para una decisión tributaria deben revisarse con un profesional contable y con la normativa vigente.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USUARIO MYPE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Créditos y cronograma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Comparación de ofertas mediante cuota fija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06440" cy="5310858"/>
            <wp:docPr id="6" name="Picture 6" descr="Simulador de crédito con entidad manual y fórmula visual de TEA" title="Simulador de crédito con entidad manual y fórmula visual de TE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credito_te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3108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ptos" w:hAnsi="Aptos"/>
          <w:i/>
          <w:color w:val="6C6265"/>
          <w:sz w:val="17"/>
        </w:rPr>
        <w:t>El botón informativo de TEA muestra la tasa mensual y la fórmula de cuota fija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1. Escribir el nombre de la entidad, banco, caja o cooperativa.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2. Asignar un nombre que permita reconocer el crédito.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3. Introducir el capital, la TEA, el número de cuotas y el mes de desembolso.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4. Revisar la cuota preliminar y pulsar Agregar al flujo.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5. Consultar el cronograma con saldo inicial, interés, amortización, cuota y saldo final.</w:t>
      </w:r>
    </w:p>
    <w:p>
      <w:pPr>
        <w:widowControl/>
        <w:spacing w:after="0" w:line="259" w:lineRule="auto"/>
      </w:pPr>
      <w:r>
        <w:rPr>
          <w:rFonts w:ascii="Aptos" w:hAnsi="Aptos"/>
          <w:b/>
          <w:color w:val="2A1B1F"/>
          <w:sz w:val="21"/>
        </w:rPr>
        <w:t xml:space="preserve">Interpretación. </w:t>
      </w:r>
      <w:r>
        <w:rPr>
          <w:rFonts w:ascii="Aptos" w:hAnsi="Aptos"/>
          <w:color w:val="2A1B1F"/>
          <w:sz w:val="21"/>
        </w:rPr>
        <w:t>La TEA se convierte a tasa efectiva mensual. El interés de cada cuota se calcula sobre el saldo pendiente; por eso la amortización aumenta a medida que el saldo disminuye. La TCEA ofrecida por la entidad debe revisarse por separado cuando existan comisiones, seguros u otros costos.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USUARIO MYPE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Reportes y gráficos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Lecturas distintas sobre una misma proyección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97680" cy="4450973"/>
            <wp:docPr id="7" name="Picture 7" descr="Vista de reportes gráficos con evolución de caja" title="Vista de reportes gráficos con evolución de caj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reportes_grafico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4450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ptos" w:hAnsi="Aptos"/>
          <w:i/>
          <w:color w:val="6C6265"/>
          <w:sz w:val="17"/>
        </w:rPr>
        <w:t>La vista gráfica permite cambiar entre caja, flujo, impuestos y resultado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232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Vista</w:t>
            </w:r>
          </w:p>
        </w:tc>
        <w:tc>
          <w:tcPr>
            <w:tcW w:type="dxa" w:w="6840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Pregunta que ayuda a responder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Flujo de caja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¿Cuánto ingresa, sale y queda cada mes?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Impuestos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¿Qué pagos y créditos tributarios se estiman?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Resultados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¿Cómo se forma la utilidad estimada?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Gráficos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¿Qué tendencia o diferencia merece atención?</w:t>
            </w:r>
          </w:p>
        </w:tc>
      </w:tr>
    </w:tbl>
    <w:p>
      <w:pPr>
        <w:spacing w:after="40"/>
      </w:pP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Durante una presentación conviene elegir primero una pregunta y luego la gráfica correspondiente. Los valores de la vista de demostración son datos de ejemplo y no representan resultados de una empresa real.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SOPORTE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Trabajo del gestor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Administración de cuentas sin acceso financiero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97680" cy="3932377"/>
            <wp:docPr id="8" name="Picture 8" descr="Directorio del gestor con importación exportación y plantilla" title="Directorio del gestor con importación exportación y plantill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gestion_usuario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9323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ptos" w:hAnsi="Aptos"/>
          <w:i/>
          <w:color w:val="6C6265"/>
          <w:sz w:val="17"/>
        </w:rPr>
        <w:t>El gestor visualiza cuentas normales y acciones de soporte</w:t>
      </w: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Crear una cuenta normal con contraseña temporal.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Buscar cuentas por nombre o correo.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Importar cuentas normales desde XLSX o CSV.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Exportar el directorio sin contraseñas.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Activar o desactivar una cuenta.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Restablecer la contraseña temporal y cerrar sesiones anteriores.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Registrar atención pendiente, en curso o resuelta con una nota breve.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El gestor no puede crear gestores, administrar la cuenta maestra ni consultar movimientos, importes, categorías, créditos o reportes de los usuarios.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ADMINISTRACIÓN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Cuenta maestra y control de accesos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Gobierno de cuentas para el piloto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La cuenta maestra administra gestores y usuarios. Puede revisar estadísticas generales, crear cuentas, importar lotes, cambiar estados, restablecer accesos y consultar la bitácora de acciones administrativas.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4608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Tarea</w:t>
            </w:r>
          </w:p>
        </w:tc>
        <w:tc>
          <w:tcPr>
            <w:tcW w:type="dxa" w:w="2232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Cuenta maestra</w:t>
            </w:r>
          </w:p>
        </w:tc>
        <w:tc>
          <w:tcPr>
            <w:tcW w:type="dxa" w:w="2232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Gestor</w:t>
            </w:r>
          </w:p>
        </w:tc>
      </w:tr>
      <w:tr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Crear usuario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Sí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Sí</w:t>
            </w:r>
          </w:p>
        </w:tc>
      </w:tr>
      <w:tr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Crear gestor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Sí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</w:t>
            </w:r>
          </w:p>
        </w:tc>
      </w:tr>
      <w:tr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Importar usuarios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Usuarios y gestores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Solo usuarios</w:t>
            </w:r>
          </w:p>
        </w:tc>
      </w:tr>
      <w:tr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Cambiar estado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Usuarios y gestores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Solo usuarios</w:t>
            </w:r>
          </w:p>
        </w:tc>
      </w:tr>
      <w:tr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Restablecer acceso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Usuarios y gestores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Solo usuarios</w:t>
            </w:r>
          </w:p>
        </w:tc>
      </w:tr>
      <w:tr>
        <w:tc>
          <w:tcPr>
            <w:tcW w:type="dxa" w:w="4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Ver información financiera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</w:t>
            </w:r>
          </w:p>
        </w:tc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Contraseñas derivadas con scrypt y sal aleatoria.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Sesiones identificadas por cookie HttpOnly y token almacenado por hash.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Cierre de sesiones cuando una cuenta se desactiva o recupera su acceso.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Bitácora administrativa sin importes ni detalles financieros.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Base demo independiente de la base normal.</w:t>
      </w:r>
    </w:p>
    <w:p>
      <w:pPr>
        <w:pStyle w:val="Heading2"/>
        <w:keepNext/>
        <w:spacing w:before="160" w:after="100"/>
      </w:pP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El equipo responsable debe asignar cuentas personales, retirar accesos cuando corresponda, proteger los respaldos y evitar el uso de las credenciales demo con información real. El piloto no incluye recuperación por correo ni autenticación multifactor.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PRESENTACIÓN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Guion sugerido para la demostración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Recorrido de diez minutos ante un equipo institucional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080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Tiempo</w:t>
            </w:r>
          </w:p>
        </w:tc>
        <w:tc>
          <w:tcPr>
            <w:tcW w:type="dxa" w:w="3096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Acción</w:t>
            </w:r>
          </w:p>
        </w:tc>
        <w:tc>
          <w:tcPr>
            <w:tcW w:type="dxa" w:w="4896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Mensaje principal</w:t>
            </w:r>
          </w:p>
        </w:tc>
      </w:tr>
      <w:tr>
        <w:tc>
          <w:tcPr>
            <w:tcW w:type="dxa" w:w="10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1 min</w:t>
            </w:r>
          </w:p>
        </w:tc>
        <w:tc>
          <w:tcPr>
            <w:tcW w:type="dxa" w:w="30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Presentar propósito y alcance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Apoyo a la planificación de una MYPE en un entorno local</w:t>
            </w:r>
          </w:p>
        </w:tc>
      </w:tr>
      <w:tr>
        <w:tc>
          <w:tcPr>
            <w:tcW w:type="dxa" w:w="10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1 min</w:t>
            </w:r>
          </w:p>
        </w:tc>
        <w:tc>
          <w:tcPr>
            <w:tcW w:type="dxa" w:w="30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Mostrar los tres perfiles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Separación entre uso financiero, soporte y administración</w:t>
            </w:r>
          </w:p>
        </w:tc>
      </w:tr>
      <w:tr>
        <w:tc>
          <w:tcPr>
            <w:tcW w:type="dxa" w:w="10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2 min</w:t>
            </w:r>
          </w:p>
        </w:tc>
        <w:tc>
          <w:tcPr>
            <w:tcW w:type="dxa" w:w="30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Registrar ingreso y egreso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Captura sencilla y exportable a Excel</w:t>
            </w:r>
          </w:p>
        </w:tc>
      </w:tr>
      <w:tr>
        <w:tc>
          <w:tcPr>
            <w:tcW w:type="dxa" w:w="10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2 min</w:t>
            </w:r>
          </w:p>
        </w:tc>
        <w:tc>
          <w:tcPr>
            <w:tcW w:type="dxa" w:w="30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Revisar plan de caja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Proyección de doce meses con reglas configurables</w:t>
            </w:r>
          </w:p>
        </w:tc>
      </w:tr>
      <w:tr>
        <w:tc>
          <w:tcPr>
            <w:tcW w:type="dxa" w:w="10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2 min</w:t>
            </w:r>
          </w:p>
        </w:tc>
        <w:tc>
          <w:tcPr>
            <w:tcW w:type="dxa" w:w="30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Simular un crédito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Cuota, interés y amortización integrados al flujo</w:t>
            </w:r>
          </w:p>
        </w:tc>
      </w:tr>
      <w:tr>
        <w:tc>
          <w:tcPr>
            <w:tcW w:type="dxa" w:w="10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1 min</w:t>
            </w:r>
          </w:p>
        </w:tc>
        <w:tc>
          <w:tcPr>
            <w:tcW w:type="dxa" w:w="30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Cambiar gráficos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Lectura visual de caja, impuestos y resultados</w:t>
            </w:r>
          </w:p>
        </w:tc>
      </w:tr>
      <w:tr>
        <w:tc>
          <w:tcPr>
            <w:tcW w:type="dxa" w:w="10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1 min</w:t>
            </w:r>
          </w:p>
        </w:tc>
        <w:tc>
          <w:tcPr>
            <w:tcW w:type="dxa" w:w="30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Entrar como gestor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7"/>
              </w:rPr>
              <w:t>Soporte de cuentas sin acceso a finanzas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Los datos mostrados son de demostración.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La aplicación funciona localmente y conserva la información en SQLite.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El acceso desde iPhone o iPad depende del equipo anfitrión y de la red local.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Las tasas son configurables y necesitan validación contable para uso institucional.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El siguiente paso del piloto es validar la experiencia con usuarios y formalizar operación, respaldo y seguridad.</w:t>
      </w:r>
    </w:p>
    <w:p>
      <w:pPr>
        <w:pStyle w:val="Heading2"/>
        <w:keepNext/>
        <w:spacing w:before="160"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3240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Pregunta</w:t>
            </w:r>
          </w:p>
        </w:tc>
        <w:tc>
          <w:tcPr>
            <w:tcW w:type="dxa" w:w="5832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Respuesta breve</w:t>
            </w:r>
          </w:p>
        </w:tc>
      </w:tr>
      <w:tr>
        <w:tc>
          <w:tcPr>
            <w:tcW w:type="dxa" w:w="32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¿El gestor ve mis finanzas?</w:t>
            </w:r>
          </w:p>
        </w:tc>
        <w:tc>
          <w:tcPr>
            <w:tcW w:type="dxa" w:w="58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No. Solo administra cuentas y estados de atención.</w:t>
            </w:r>
          </w:p>
        </w:tc>
      </w:tr>
      <w:tr>
        <w:tc>
          <w:tcPr>
            <w:tcW w:type="dxa" w:w="32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¿Se pueden tener varios créditos?</w:t>
            </w:r>
          </w:p>
        </w:tc>
        <w:tc>
          <w:tcPr>
            <w:tcW w:type="dxa" w:w="58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Sí. Cada crédito genera su propio cronograma.</w:t>
            </w:r>
          </w:p>
        </w:tc>
      </w:tr>
      <w:tr>
        <w:tc>
          <w:tcPr>
            <w:tcW w:type="dxa" w:w="32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¿Funciona sin internet?</w:t>
            </w:r>
          </w:p>
        </w:tc>
        <w:tc>
          <w:tcPr>
            <w:tcW w:type="dxa" w:w="58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Sí en el equipo local; iOS necesita la red local del anfitrión.</w:t>
            </w:r>
          </w:p>
        </w:tc>
      </w:tr>
      <w:tr>
        <w:tc>
          <w:tcPr>
            <w:tcW w:type="dxa" w:w="32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¿Reemplaza al contador?</w:t>
            </w:r>
          </w:p>
        </w:tc>
        <w:tc>
          <w:tcPr>
            <w:tcW w:type="dxa" w:w="58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No. Es una herramienta de planificación y simulación.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OPERACIÓN RESPONSABLE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Respaldo soporte y cierre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Prácticas mínimas para cuidar el piloto</w:t>
      </w:r>
    </w:p>
    <w:p>
      <w:pPr>
        <w:pStyle w:val="Heading2"/>
        <w:keepNext/>
        <w:spacing w:before="160" w:after="100"/>
      </w:pP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1. Cerrar la ventana del servidor.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2. Copiar data/nexocaja.sqlite y los archivos auxiliares -wal o -shm si existen.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3. Guardar la copia en una ubicación institucional protegida.</w:t>
      </w:r>
    </w:p>
    <w:p>
      <w:pPr>
        <w:spacing w:after="80" w:line="252" w:lineRule="auto"/>
        <w:ind w:left="403" w:hanging="288"/>
      </w:pPr>
      <w:r>
        <w:rPr>
          <w:rFonts w:ascii="Aptos" w:hAnsi="Aptos"/>
          <w:color w:val="2A1B1F"/>
          <w:sz w:val="20"/>
        </w:rPr>
        <w:t>4. Registrar fecha, responsable y resultado de una restauración de prueba.</w:t>
      </w:r>
    </w:p>
    <w:p>
      <w:pPr>
        <w:pStyle w:val="Heading2"/>
        <w:keepNext/>
        <w:spacing w:before="160"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3024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Situación</w:t>
            </w:r>
          </w:p>
        </w:tc>
        <w:tc>
          <w:tcPr>
            <w:tcW w:type="dxa" w:w="6048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Primera revisión</w:t>
            </w:r>
          </w:p>
        </w:tc>
      </w:tr>
      <w:tr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 abre el navegador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Abrir la URL indicada por el iniciador</w:t>
            </w:r>
          </w:p>
        </w:tc>
      </w:tr>
      <w:tr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No inicia el servidor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Revisar versión de Node.js y puerto 4174</w:t>
            </w:r>
          </w:p>
        </w:tc>
      </w:tr>
      <w:tr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Una cuenta no ingresa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Verificar usuario, contraseña y estado activo</w:t>
            </w:r>
          </w:p>
        </w:tc>
      </w:tr>
      <w:tr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La hoja no importa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Usar la plantilla y revisar encabezados y duplicados</w:t>
            </w:r>
          </w:p>
        </w:tc>
      </w:tr>
      <w:tr>
        <w:tc>
          <w:tcPr>
            <w:tcW w:type="dxa" w:w="30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iPhone no conecta</w:t>
            </w:r>
          </w:p>
        </w:tc>
        <w:tc>
          <w:tcPr>
            <w:tcW w:type="dxa" w:w="60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Confirmar misma Wi-Fi, IP local y firewall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Cerrar las sesiones abiertas en el navegador.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Detener el servidor con Ctrl+C o cerrar el iniciador.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Eliminar archivos exportados que contengan información de prueba innecesaria.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Registrar cualquier error, duda del público o solicitud de mejora.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La documentación técnica y la bitácora del proyecto se encuentran en la carpeta documentacion. Cada agente o equipo que modifique NexoCaja debe dejar una nota para que el siguiente responsable pueda continuar con contexto verificable.</w:t>
      </w:r>
    </w:p>
    <w:p>
      <w:r>
        <w:br w:type="page"/>
      </w:r>
    </w:p>
    <w:p>
      <w:pPr>
        <w:spacing w:after="100"/>
      </w:pPr>
      <w:r>
        <w:rPr>
          <w:rFonts w:ascii="Aptos" w:hAnsi="Aptos"/>
          <w:b/>
          <w:color w:val="AD0F2F"/>
          <w:sz w:val="17"/>
        </w:rPr>
        <w:t>SIGUIENTE ETAPA</w:t>
      </w:r>
    </w:p>
    <w:p>
      <w:pPr>
        <w:pStyle w:val="Title"/>
        <w:spacing w:after="180"/>
        <w:jc w:val="left"/>
      </w:pPr>
      <w:r>
        <w:rPr>
          <w:rFonts w:ascii="Aptos Display" w:hAnsi="Aptos Display"/>
          <w:b/>
          <w:color w:val="000000"/>
          <w:sz w:val="56"/>
        </w:rPr>
        <w:t>Condiciones para avanzar</w:t>
      </w:r>
    </w:p>
    <w:p>
      <w:pPr>
        <w:spacing w:after="280"/>
      </w:pPr>
      <w:r>
        <w:rPr>
          <w:rFonts w:ascii="Aptos" w:hAnsi="Aptos"/>
          <w:color w:val="6C6265"/>
          <w:sz w:val="24"/>
        </w:rPr>
        <w:t>Validaciones recomendadas antes de un despliegue institucional</w:t>
      </w: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NexoCaja ya permite demostrar el recorrido completo desde el registro de un movimiento hasta la lectura de una proyección y el soporte de cuentas. El paso siguiente es validar esa experiencia con las personas que utilizarán el sistema y cerrar los requisitos de operación institucional.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232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Frente</w:t>
            </w:r>
          </w:p>
        </w:tc>
        <w:tc>
          <w:tcPr>
            <w:tcW w:type="dxa" w:w="6840"/>
            <w:shd w:fill="5A091C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Usuarios MYPE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Comprensión de tareas, tiempos y términos utilizados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Contabilidad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Conformidad con fórmulas, tasas, advertencias y ejemplos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Seguridad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Tratamiento de riesgos, accesos, respaldo y datos personales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Operación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BF7F8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Responsables, soporte, recuperación y continuidad</w:t>
            </w:r>
          </w:p>
        </w:tc>
      </w:tr>
      <w:tr>
        <w:tc>
          <w:tcPr>
            <w:tcW w:type="dxa" w:w="223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Tecnología</w:t>
            </w:r>
          </w:p>
        </w:tc>
        <w:tc>
          <w:tcPr>
            <w:tcW w:type="dxa" w:w="68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2A1B1F"/>
                <w:sz w:val="18"/>
              </w:rPr>
              <w:t>Decisión sobre continuidad local o despliegue web seguro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60" w:after="100"/>
      </w:pPr>
    </w:p>
    <w:p>
      <w:pPr>
        <w:widowControl/>
        <w:spacing w:after="120" w:line="259" w:lineRule="auto"/>
      </w:pPr>
      <w:r>
        <w:rPr>
          <w:rFonts w:ascii="Aptos" w:hAnsi="Aptos"/>
          <w:color w:val="2A1B1F"/>
          <w:sz w:val="21"/>
        </w:rPr>
        <w:t>El piloto puede pasar a evaluación institucional cuando los flujos críticos estén validados por usuarios, los cálculos cuenten con conformidad contable, exista un procedimiento probado de respaldo y la revisión de seguridad no mantenga riesgos críticos sin tratamiento.</w:t>
      </w:r>
    </w:p>
    <w:p>
      <w:pPr>
        <w:pStyle w:val="Heading2"/>
        <w:keepNext/>
        <w:spacing w:before="160" w:after="100"/>
      </w:pP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README.md para instalación y descripción general.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documentacion/00_LEEME_PRIMERO.md para el contexto compartido.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documentacion/REGISTRO_CAMBIOS.md para la trazabilidad.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documentacion/DECISIONES_TECNICAS.md para decisiones vigentes.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2A1B1F"/>
          <w:sz w:val="20"/>
        </w:rPr>
        <w:t>documentacion/ANTIGRAVITY.md para coordinación entre agentes.</w:t>
      </w:r>
    </w:p>
    <w:p>
      <w:pPr>
        <w:spacing w:before="400"/>
        <w:jc w:val="center"/>
      </w:pPr>
      <w:r>
        <w:rPr>
          <w:rFonts w:ascii="Aptos Display" w:hAnsi="Aptos Display"/>
          <w:b/>
          <w:color w:val="5A091C"/>
          <w:sz w:val="44"/>
        </w:rPr>
        <w:t>NexoCaja</w:t>
      </w:r>
    </w:p>
    <w:p>
      <w:pPr>
        <w:jc w:val="center"/>
      </w:pPr>
      <w:r>
        <w:rPr>
          <w:rFonts w:ascii="Aptos" w:hAnsi="Aptos"/>
          <w:color w:val="6C6265"/>
          <w:sz w:val="21"/>
        </w:rPr>
        <w:t>Manual institucional y de uso del piloto local</w:t>
      </w:r>
    </w:p>
    <w:sectPr w:rsidR="00FC693F" w:rsidRPr="0006063C" w:rsidSect="00034616">
      <w:footerReference w:type="default" r:id="rId9"/>
      <w:pgSz w:w="12240" w:h="15840"/>
      <w:pgMar w:top="936" w:right="1123" w:bottom="893" w:left="1123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C6265"/>
        <w:sz w:val="17"/>
      </w:rPr>
      <w:t xml:space="preserve">NexoCaja  |  Proyecto MYPES Digitales Cusco     </w:t>
    </w:r>
    <w:r>
      <w:rPr>
        <w:rFonts w:ascii="Aptos" w:hAnsi="Aptos"/>
        <w:color w:val="6C6265"/>
        <w:sz w:val="17"/>
      </w:rPr>
      <w:t xml:space="preserve">Página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A1B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institucional y de uso de NexoCaja</dc:title>
  <dc:subject>Presentación y uso del piloto local para MYPE de Cusco</dc:subject>
  <dc:creator>Proyecto NexoCaja</dc:creator>
  <cp:keywords>NexoCaja, MYPES Digitales, Cusco, flujo de caja, crédito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